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6FB" w:rsidRPr="00687816" w:rsidRDefault="00D346FB" w:rsidP="00324A68">
      <w:pPr>
        <w:pStyle w:val="Titreducommuniqu"/>
      </w:pPr>
    </w:p>
    <w:p w:rsidR="00D346FB" w:rsidRPr="00687816" w:rsidRDefault="00D346FB" w:rsidP="00324A68">
      <w:pPr>
        <w:pStyle w:val="Titreducommuniqu"/>
        <w:sectPr w:rsidR="00D346FB" w:rsidRPr="00687816" w:rsidSect="007240BE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722" w:right="1418" w:bottom="1134" w:left="1418" w:header="340" w:footer="567" w:gutter="0"/>
          <w:cols w:space="708"/>
          <w:docGrid w:linePitch="360"/>
        </w:sectPr>
      </w:pPr>
    </w:p>
    <w:p w:rsidR="00167E31" w:rsidRDefault="00167E31" w:rsidP="00C61AFD">
      <w:pPr>
        <w:pStyle w:val="Titreducommuniqu"/>
        <w:rPr>
          <w:rFonts w:cstheme="minorBidi"/>
          <w:szCs w:val="24"/>
        </w:rPr>
      </w:pPr>
    </w:p>
    <w:p w:rsidR="00C61AFD" w:rsidRPr="007240BE" w:rsidRDefault="00C61AFD" w:rsidP="00C61AFD">
      <w:pPr>
        <w:pStyle w:val="Titreducommuniqu"/>
        <w:rPr>
          <w:sz w:val="32"/>
          <w:szCs w:val="28"/>
        </w:rPr>
      </w:pPr>
      <w:bookmarkStart w:id="0" w:name="_GoBack"/>
      <w:bookmarkEnd w:id="0"/>
      <w:r w:rsidRPr="007240BE">
        <w:rPr>
          <w:rFonts w:cstheme="minorBidi"/>
          <w:szCs w:val="24"/>
        </w:rPr>
        <w:t>Modalités de mise à disposition ou de consultation</w:t>
      </w:r>
      <w:r w:rsidRPr="007240BE">
        <w:rPr>
          <w:rFonts w:cstheme="minorBidi"/>
          <w:szCs w:val="24"/>
        </w:rPr>
        <w:br/>
        <w:t>des informations mentionnées à l'article R.225-83 du code de commerce, relatives à l’assemblée générale mixte du</w:t>
      </w:r>
      <w:r w:rsidR="00393752" w:rsidRPr="007240BE">
        <w:rPr>
          <w:rFonts w:cstheme="minorBidi"/>
          <w:szCs w:val="24"/>
        </w:rPr>
        <w:t xml:space="preserve"> 4 mai 2018</w:t>
      </w:r>
    </w:p>
    <w:p w:rsidR="004D75AB" w:rsidRDefault="004D75AB" w:rsidP="004D75AB">
      <w:pPr>
        <w:rPr>
          <w:rFonts w:cs="Arial"/>
          <w:sz w:val="22"/>
          <w:szCs w:val="22"/>
        </w:rPr>
      </w:pPr>
    </w:p>
    <w:p w:rsidR="00167E31" w:rsidRPr="00687816" w:rsidRDefault="00167E31" w:rsidP="004D75AB">
      <w:pPr>
        <w:rPr>
          <w:rFonts w:cs="Arial"/>
          <w:sz w:val="22"/>
          <w:szCs w:val="22"/>
        </w:rPr>
      </w:pPr>
    </w:p>
    <w:p w:rsidR="004D75AB" w:rsidRPr="00687816" w:rsidRDefault="004D75AB" w:rsidP="004D75AB">
      <w:pPr>
        <w:rPr>
          <w:rFonts w:cs="Arial"/>
          <w:sz w:val="22"/>
          <w:szCs w:val="22"/>
        </w:rPr>
      </w:pPr>
    </w:p>
    <w:p w:rsidR="00167E31" w:rsidRDefault="00167E31" w:rsidP="00393752">
      <w:pPr>
        <w:pStyle w:val="Default"/>
        <w:jc w:val="both"/>
        <w:rPr>
          <w:rFonts w:cstheme="minorBidi"/>
          <w:color w:val="auto"/>
          <w:sz w:val="20"/>
          <w:szCs w:val="17"/>
          <w:lang w:eastAsia="en-US"/>
        </w:rPr>
        <w:sectPr w:rsidR="00167E31" w:rsidSect="007240BE">
          <w:headerReference w:type="default" r:id="rId13"/>
          <w:footerReference w:type="default" r:id="rId14"/>
          <w:type w:val="continuous"/>
          <w:pgSz w:w="11906" w:h="16838" w:code="9"/>
          <w:pgMar w:top="1418" w:right="1418" w:bottom="1134" w:left="1418" w:header="340" w:footer="567" w:gutter="0"/>
          <w:cols w:space="708"/>
          <w:titlePg/>
          <w:docGrid w:linePitch="360"/>
        </w:sectPr>
      </w:pPr>
    </w:p>
    <w:p w:rsidR="00393752" w:rsidRPr="00D52FB8" w:rsidRDefault="00393752" w:rsidP="00167E31">
      <w:pPr>
        <w:pStyle w:val="Default"/>
        <w:spacing w:before="20" w:after="20" w:line="264" w:lineRule="auto"/>
        <w:jc w:val="both"/>
        <w:rPr>
          <w:rFonts w:cstheme="minorBidi"/>
          <w:color w:val="auto"/>
          <w:sz w:val="20"/>
          <w:szCs w:val="17"/>
          <w:lang w:eastAsia="en-US"/>
        </w:rPr>
      </w:pPr>
      <w:r w:rsidRPr="003A7E55">
        <w:rPr>
          <w:rFonts w:cstheme="minorBidi"/>
          <w:color w:val="auto"/>
          <w:sz w:val="20"/>
          <w:szCs w:val="17"/>
          <w:lang w:eastAsia="en-US"/>
        </w:rPr>
        <w:t>L’assemblée générale des actionnaires d'Aéroports de Paris se tiendra le vendredi 4 mai 2018 à 15 heures</w:t>
      </w:r>
      <w:r w:rsidRPr="00D52FB8">
        <w:rPr>
          <w:rFonts w:cstheme="minorBidi"/>
          <w:color w:val="auto"/>
          <w:sz w:val="20"/>
          <w:szCs w:val="17"/>
          <w:lang w:eastAsia="en-US"/>
        </w:rPr>
        <w:t>, à la Maison de la Chimie, 28 bis rue Saint Dominique 75007 Paris.</w:t>
      </w:r>
    </w:p>
    <w:p w:rsidR="00393752" w:rsidRPr="00D52FB8" w:rsidRDefault="00393752" w:rsidP="00167E31">
      <w:pPr>
        <w:pStyle w:val="Default"/>
        <w:spacing w:before="20" w:after="20" w:line="264" w:lineRule="auto"/>
        <w:jc w:val="both"/>
        <w:rPr>
          <w:rFonts w:cstheme="minorBidi"/>
          <w:color w:val="auto"/>
          <w:sz w:val="20"/>
          <w:szCs w:val="17"/>
          <w:lang w:eastAsia="en-US"/>
        </w:rPr>
      </w:pPr>
      <w:r w:rsidRPr="00D52FB8">
        <w:rPr>
          <w:rFonts w:cstheme="minorBidi"/>
          <w:color w:val="auto"/>
          <w:sz w:val="20"/>
          <w:szCs w:val="17"/>
          <w:lang w:eastAsia="en-US"/>
        </w:rPr>
        <w:t xml:space="preserve">L’avis de </w:t>
      </w:r>
      <w:r w:rsidRPr="003A7E55">
        <w:rPr>
          <w:rFonts w:cstheme="minorBidi"/>
          <w:color w:val="auto"/>
          <w:sz w:val="20"/>
          <w:szCs w:val="17"/>
          <w:lang w:eastAsia="en-US"/>
        </w:rPr>
        <w:t>réunion comportant l’ordre du jour et le texte des résolutions a été publié au Bulletin des Annonces Légales Obligatoires du 2 mars 2018 (bulletin n°</w:t>
      </w:r>
      <w:r w:rsidR="00A40249">
        <w:rPr>
          <w:rFonts w:cstheme="minorBidi"/>
          <w:color w:val="auto"/>
          <w:sz w:val="20"/>
          <w:szCs w:val="17"/>
          <w:lang w:eastAsia="en-US"/>
        </w:rPr>
        <w:t>27</w:t>
      </w:r>
      <w:r w:rsidRPr="003A7E55">
        <w:rPr>
          <w:rFonts w:cstheme="minorBidi"/>
          <w:color w:val="auto"/>
          <w:sz w:val="20"/>
          <w:szCs w:val="17"/>
          <w:lang w:eastAsia="en-US"/>
        </w:rPr>
        <w:t xml:space="preserve">) et au journal Les Echos du </w:t>
      </w:r>
      <w:r w:rsidR="003A7E55" w:rsidRPr="003A7E55">
        <w:rPr>
          <w:rFonts w:cstheme="minorBidi"/>
          <w:color w:val="auto"/>
          <w:sz w:val="20"/>
          <w:szCs w:val="17"/>
          <w:lang w:eastAsia="en-US"/>
        </w:rPr>
        <w:t>2</w:t>
      </w:r>
      <w:r w:rsidRPr="003A7E55">
        <w:rPr>
          <w:rFonts w:cstheme="minorBidi"/>
          <w:color w:val="auto"/>
          <w:sz w:val="20"/>
          <w:szCs w:val="17"/>
          <w:lang w:eastAsia="en-US"/>
        </w:rPr>
        <w:t> mars 201</w:t>
      </w:r>
      <w:r w:rsidR="00A40249">
        <w:rPr>
          <w:rFonts w:cstheme="minorBidi"/>
          <w:color w:val="auto"/>
          <w:sz w:val="20"/>
          <w:szCs w:val="17"/>
          <w:lang w:eastAsia="en-US"/>
        </w:rPr>
        <w:t>8</w:t>
      </w:r>
      <w:r w:rsidRPr="003A7E55">
        <w:rPr>
          <w:rFonts w:cstheme="minorBidi"/>
          <w:color w:val="auto"/>
          <w:sz w:val="20"/>
          <w:szCs w:val="17"/>
          <w:lang w:eastAsia="en-US"/>
        </w:rPr>
        <w:t>.</w:t>
      </w:r>
      <w:r w:rsidRPr="00D52FB8">
        <w:rPr>
          <w:rFonts w:cstheme="minorBidi"/>
          <w:color w:val="auto"/>
          <w:sz w:val="20"/>
          <w:szCs w:val="17"/>
          <w:lang w:eastAsia="en-US"/>
        </w:rPr>
        <w:t xml:space="preserve"> </w:t>
      </w:r>
    </w:p>
    <w:p w:rsidR="00393752" w:rsidRPr="00D52FB8" w:rsidRDefault="00393752" w:rsidP="00167E31">
      <w:pPr>
        <w:pStyle w:val="Default"/>
        <w:spacing w:before="20" w:after="20" w:line="264" w:lineRule="auto"/>
        <w:jc w:val="both"/>
        <w:rPr>
          <w:rFonts w:cstheme="minorBidi"/>
          <w:color w:val="auto"/>
          <w:sz w:val="20"/>
          <w:szCs w:val="17"/>
          <w:lang w:eastAsia="en-US"/>
        </w:rPr>
      </w:pPr>
      <w:r w:rsidRPr="00D52FB8">
        <w:rPr>
          <w:rFonts w:cstheme="minorBidi"/>
          <w:color w:val="auto"/>
          <w:sz w:val="20"/>
          <w:szCs w:val="17"/>
          <w:lang w:eastAsia="en-US"/>
        </w:rPr>
        <w:t>L'avis de convocation, comportant notamment la date de l'assemblée générale, a quant à lui été publié au Bulletin des Annonces Légales Obligatoires du 1</w:t>
      </w:r>
      <w:r>
        <w:rPr>
          <w:rFonts w:cstheme="minorBidi"/>
          <w:color w:val="auto"/>
          <w:sz w:val="20"/>
          <w:szCs w:val="17"/>
          <w:lang w:eastAsia="en-US"/>
        </w:rPr>
        <w:t>1</w:t>
      </w:r>
      <w:r w:rsidRPr="00D52FB8">
        <w:rPr>
          <w:rFonts w:cstheme="minorBidi"/>
          <w:color w:val="auto"/>
          <w:sz w:val="20"/>
          <w:szCs w:val="17"/>
          <w:lang w:eastAsia="en-US"/>
        </w:rPr>
        <w:t xml:space="preserve"> avril 201</w:t>
      </w:r>
      <w:r>
        <w:rPr>
          <w:rFonts w:cstheme="minorBidi"/>
          <w:color w:val="auto"/>
          <w:sz w:val="20"/>
          <w:szCs w:val="17"/>
          <w:lang w:eastAsia="en-US"/>
        </w:rPr>
        <w:t>8</w:t>
      </w:r>
      <w:r w:rsidRPr="00D52FB8">
        <w:rPr>
          <w:rFonts w:cstheme="minorBidi"/>
          <w:color w:val="auto"/>
          <w:sz w:val="20"/>
          <w:szCs w:val="17"/>
          <w:lang w:eastAsia="en-US"/>
        </w:rPr>
        <w:t xml:space="preserve"> et au journal d'annonces légales du 1</w:t>
      </w:r>
      <w:r>
        <w:rPr>
          <w:rFonts w:cstheme="minorBidi"/>
          <w:color w:val="auto"/>
          <w:sz w:val="20"/>
          <w:szCs w:val="17"/>
          <w:lang w:eastAsia="en-US"/>
        </w:rPr>
        <w:t>1</w:t>
      </w:r>
      <w:r w:rsidRPr="00D52FB8">
        <w:rPr>
          <w:rFonts w:cstheme="minorBidi"/>
          <w:color w:val="auto"/>
          <w:sz w:val="20"/>
          <w:szCs w:val="17"/>
          <w:lang w:eastAsia="en-US"/>
        </w:rPr>
        <w:t xml:space="preserve"> avril 201</w:t>
      </w:r>
      <w:r>
        <w:rPr>
          <w:rFonts w:cstheme="minorBidi"/>
          <w:color w:val="auto"/>
          <w:sz w:val="20"/>
          <w:szCs w:val="17"/>
          <w:lang w:eastAsia="en-US"/>
        </w:rPr>
        <w:t>8</w:t>
      </w:r>
      <w:r w:rsidRPr="00D52FB8">
        <w:rPr>
          <w:rFonts w:cstheme="minorBidi"/>
          <w:color w:val="auto"/>
          <w:sz w:val="20"/>
          <w:szCs w:val="17"/>
          <w:lang w:eastAsia="en-US"/>
        </w:rPr>
        <w:t xml:space="preserve">. </w:t>
      </w:r>
    </w:p>
    <w:p w:rsidR="00393752" w:rsidRPr="00D52FB8" w:rsidRDefault="00393752" w:rsidP="00167E31">
      <w:pPr>
        <w:pStyle w:val="Default"/>
        <w:spacing w:before="20" w:after="20" w:line="264" w:lineRule="auto"/>
        <w:jc w:val="both"/>
        <w:rPr>
          <w:rFonts w:cstheme="minorBidi"/>
          <w:color w:val="auto"/>
          <w:sz w:val="20"/>
          <w:szCs w:val="17"/>
          <w:lang w:eastAsia="en-US"/>
        </w:rPr>
      </w:pPr>
      <w:r w:rsidRPr="00D52FB8">
        <w:rPr>
          <w:rFonts w:cstheme="minorBidi"/>
          <w:color w:val="auto"/>
          <w:sz w:val="20"/>
          <w:szCs w:val="17"/>
          <w:lang w:eastAsia="en-US"/>
        </w:rPr>
        <w:t>Les modalités de participation et de vote à cette assemblée figurent dans chacun de ces avis.</w:t>
      </w:r>
    </w:p>
    <w:p w:rsidR="00393752" w:rsidRPr="00D52FB8" w:rsidRDefault="00393752" w:rsidP="00167E31">
      <w:pPr>
        <w:spacing w:before="20" w:after="20" w:line="264" w:lineRule="auto"/>
        <w:rPr>
          <w:lang w:eastAsia="en-US"/>
        </w:rPr>
      </w:pPr>
      <w:r w:rsidRPr="00D52FB8">
        <w:rPr>
          <w:lang w:eastAsia="en-US"/>
        </w:rPr>
        <w:t xml:space="preserve">La brochure de l'avis de convocation et les informations ou documents relatifs à l’assemblée générale, en particulier ceux visés à l'article R.225-73-1 du code de commerce, peuvent être consultés à l'adresse suivante </w:t>
      </w:r>
      <w:hyperlink w:history="1">
        <w:r w:rsidR="007240BE" w:rsidRPr="002D4A39">
          <w:rPr>
            <w:rStyle w:val="Lienhypertexte"/>
            <w:lang w:eastAsia="en-US"/>
          </w:rPr>
          <w:t>: www.groupeadp.fr</w:t>
        </w:r>
      </w:hyperlink>
      <w:r>
        <w:rPr>
          <w:lang w:eastAsia="en-US"/>
        </w:rPr>
        <w:t xml:space="preserve">.  </w:t>
      </w:r>
    </w:p>
    <w:p w:rsidR="00393752" w:rsidRPr="00D52FB8" w:rsidRDefault="00393752" w:rsidP="00167E31">
      <w:pPr>
        <w:pStyle w:val="Default"/>
        <w:spacing w:before="20" w:after="20" w:line="264" w:lineRule="auto"/>
        <w:jc w:val="both"/>
        <w:rPr>
          <w:rFonts w:cstheme="minorBidi"/>
          <w:color w:val="auto"/>
          <w:sz w:val="20"/>
          <w:szCs w:val="17"/>
          <w:lang w:eastAsia="en-US"/>
        </w:rPr>
      </w:pPr>
      <w:r w:rsidRPr="00D52FB8">
        <w:rPr>
          <w:rFonts w:cstheme="minorBidi"/>
          <w:color w:val="auto"/>
          <w:sz w:val="20"/>
          <w:szCs w:val="17"/>
          <w:lang w:eastAsia="en-US"/>
        </w:rPr>
        <w:t>Les documents énumérés à l'article R. 225-83 du code de commerce sont mis en ligne sur le site de la société à l’adresse ci-dessus et tenus à disposition des actionnaires à compter de la convocation de l'assemblée, conformément aux dispositions réglementaires en vigueur, et :</w:t>
      </w:r>
    </w:p>
    <w:p w:rsidR="00393752" w:rsidRPr="00D52FB8" w:rsidRDefault="00393752" w:rsidP="00167E31">
      <w:pPr>
        <w:pStyle w:val="Default"/>
        <w:numPr>
          <w:ilvl w:val="0"/>
          <w:numId w:val="19"/>
        </w:numPr>
        <w:tabs>
          <w:tab w:val="clear" w:pos="720"/>
          <w:tab w:val="num" w:pos="426"/>
        </w:tabs>
        <w:adjustRightInd w:val="0"/>
        <w:spacing w:before="20" w:after="20" w:line="264" w:lineRule="auto"/>
        <w:ind w:left="426"/>
        <w:jc w:val="both"/>
        <w:rPr>
          <w:rFonts w:cstheme="minorBidi"/>
          <w:color w:val="auto"/>
          <w:sz w:val="20"/>
          <w:szCs w:val="17"/>
          <w:lang w:eastAsia="en-US"/>
        </w:rPr>
      </w:pPr>
      <w:r w:rsidRPr="00D52FB8">
        <w:rPr>
          <w:rFonts w:cstheme="minorBidi"/>
          <w:color w:val="auto"/>
          <w:sz w:val="20"/>
          <w:szCs w:val="17"/>
          <w:lang w:eastAsia="en-US"/>
        </w:rPr>
        <w:t>tout actionnaire titulaire de titres nominatifs peut, jusqu'au cinquième jour inclusivement avant l'assemblée, demander à la société de lui envoyer ces documents. Pour les titulaires d'actions au porteur, l'exercice de ce droit est subordonnée à la fourniture d'une attestation d'inscription dans les comptes de titres au porteur tenus par l'intermédiaire habilité ;</w:t>
      </w:r>
    </w:p>
    <w:p w:rsidR="00393752" w:rsidRPr="00D52FB8" w:rsidRDefault="00393752" w:rsidP="00167E31">
      <w:pPr>
        <w:pStyle w:val="Default"/>
        <w:numPr>
          <w:ilvl w:val="0"/>
          <w:numId w:val="19"/>
        </w:numPr>
        <w:tabs>
          <w:tab w:val="clear" w:pos="720"/>
          <w:tab w:val="num" w:pos="426"/>
        </w:tabs>
        <w:adjustRightInd w:val="0"/>
        <w:spacing w:before="20" w:after="20" w:line="264" w:lineRule="auto"/>
        <w:ind w:left="426"/>
        <w:jc w:val="both"/>
        <w:rPr>
          <w:rFonts w:cstheme="minorBidi"/>
          <w:color w:val="auto"/>
          <w:sz w:val="20"/>
          <w:szCs w:val="17"/>
          <w:lang w:eastAsia="en-US"/>
        </w:rPr>
      </w:pPr>
      <w:r w:rsidRPr="00D52FB8">
        <w:rPr>
          <w:rFonts w:cstheme="minorBidi"/>
          <w:color w:val="auto"/>
          <w:sz w:val="20"/>
          <w:szCs w:val="17"/>
          <w:lang w:eastAsia="en-US"/>
        </w:rPr>
        <w:t>tout actionnaire peut en prendre connaissance au sièg</w:t>
      </w:r>
      <w:r>
        <w:rPr>
          <w:rFonts w:cstheme="minorBidi"/>
          <w:color w:val="auto"/>
          <w:sz w:val="20"/>
          <w:szCs w:val="17"/>
          <w:lang w:eastAsia="en-US"/>
        </w:rPr>
        <w:t>e de la société à compter de la </w:t>
      </w:r>
      <w:r w:rsidRPr="00D52FB8">
        <w:rPr>
          <w:rFonts w:cstheme="minorBidi"/>
          <w:color w:val="auto"/>
          <w:sz w:val="20"/>
          <w:szCs w:val="17"/>
          <w:lang w:eastAsia="en-US"/>
        </w:rPr>
        <w:t>convocation et au moins pendant un délai de 15 jours précédant la date de l'assemblée générale.</w:t>
      </w:r>
    </w:p>
    <w:p w:rsidR="00167E31" w:rsidRDefault="00167E31" w:rsidP="00393752">
      <w:pPr>
        <w:pStyle w:val="Puce2"/>
        <w:numPr>
          <w:ilvl w:val="0"/>
          <w:numId w:val="0"/>
        </w:numPr>
        <w:rPr>
          <w:rFonts w:eastAsiaTheme="minorHAnsi"/>
          <w:color w:val="auto"/>
          <w:sz w:val="20"/>
          <w:szCs w:val="17"/>
          <w:lang w:eastAsia="en-US"/>
        </w:rPr>
        <w:sectPr w:rsidR="00167E31" w:rsidSect="00167E31">
          <w:type w:val="continuous"/>
          <w:pgSz w:w="11906" w:h="16838" w:code="9"/>
          <w:pgMar w:top="1418" w:right="1418" w:bottom="1134" w:left="1418" w:header="340" w:footer="567" w:gutter="0"/>
          <w:cols w:num="2" w:space="284"/>
          <w:titlePg/>
          <w:docGrid w:linePitch="360"/>
        </w:sectPr>
      </w:pPr>
    </w:p>
    <w:p w:rsidR="00393752" w:rsidRDefault="00393752" w:rsidP="00393752">
      <w:pPr>
        <w:pStyle w:val="Puce2"/>
        <w:numPr>
          <w:ilvl w:val="0"/>
          <w:numId w:val="0"/>
        </w:numPr>
        <w:rPr>
          <w:rFonts w:eastAsiaTheme="minorHAnsi"/>
          <w:color w:val="auto"/>
          <w:sz w:val="20"/>
          <w:szCs w:val="17"/>
          <w:lang w:eastAsia="en-US"/>
        </w:rPr>
      </w:pPr>
    </w:p>
    <w:p w:rsidR="007240BE" w:rsidRDefault="007240BE" w:rsidP="00393752">
      <w:pPr>
        <w:pStyle w:val="Puce2"/>
        <w:numPr>
          <w:ilvl w:val="0"/>
          <w:numId w:val="0"/>
        </w:numPr>
        <w:rPr>
          <w:rFonts w:eastAsiaTheme="minorHAnsi"/>
          <w:color w:val="auto"/>
          <w:sz w:val="20"/>
          <w:szCs w:val="17"/>
          <w:lang w:eastAsia="en-US"/>
        </w:rPr>
      </w:pPr>
    </w:p>
    <w:p w:rsidR="001A014F" w:rsidRDefault="001A014F" w:rsidP="001A014F">
      <w:pPr>
        <w:autoSpaceDE w:val="0"/>
        <w:autoSpaceDN w:val="0"/>
        <w:adjustRightInd w:val="0"/>
        <w:rPr>
          <w:rFonts w:asciiTheme="majorHAnsi" w:eastAsiaTheme="minorHAnsi" w:hAnsiTheme="majorHAnsi" w:cs="HelveticaNeueLTStd-Md"/>
          <w:color w:val="333333"/>
          <w:sz w:val="16"/>
          <w:szCs w:val="12"/>
          <w:lang w:eastAsia="en-US"/>
        </w:rPr>
      </w:pPr>
    </w:p>
    <w:p w:rsidR="001A014F" w:rsidRPr="001A014F" w:rsidRDefault="001A014F" w:rsidP="001A014F">
      <w:pPr>
        <w:autoSpaceDE w:val="0"/>
        <w:autoSpaceDN w:val="0"/>
        <w:adjustRightInd w:val="0"/>
        <w:jc w:val="both"/>
        <w:rPr>
          <w:rFonts w:asciiTheme="majorHAnsi" w:eastAsiaTheme="minorHAnsi" w:hAnsiTheme="majorHAnsi" w:cs="HelveticaNeueLTStd-Md"/>
          <w:color w:val="333333"/>
          <w:szCs w:val="12"/>
          <w:lang w:eastAsia="en-US"/>
        </w:rPr>
      </w:pPr>
      <w:r w:rsidRPr="001A014F">
        <w:rPr>
          <w:rFonts w:asciiTheme="majorHAnsi" w:eastAsiaTheme="minorHAnsi" w:hAnsiTheme="majorHAnsi" w:cs="HelveticaNeueLTStd-Md"/>
          <w:color w:val="333333"/>
          <w:szCs w:val="12"/>
          <w:lang w:eastAsia="en-US"/>
        </w:rPr>
        <w:t>AÉROPORTS DE PARIS</w:t>
      </w:r>
    </w:p>
    <w:p w:rsidR="001A014F" w:rsidRPr="001A014F" w:rsidRDefault="001A014F" w:rsidP="001A014F">
      <w:pPr>
        <w:autoSpaceDE w:val="0"/>
        <w:autoSpaceDN w:val="0"/>
        <w:adjustRightInd w:val="0"/>
        <w:jc w:val="both"/>
        <w:rPr>
          <w:rFonts w:asciiTheme="majorHAnsi" w:eastAsiaTheme="minorHAnsi" w:hAnsiTheme="majorHAnsi" w:cs="HelveticaNeueLTStd-Lt"/>
          <w:color w:val="333333"/>
          <w:szCs w:val="12"/>
          <w:lang w:eastAsia="en-US"/>
        </w:rPr>
      </w:pPr>
      <w:r w:rsidRPr="001A014F">
        <w:rPr>
          <w:rFonts w:asciiTheme="majorHAnsi" w:eastAsiaTheme="minorHAnsi" w:hAnsiTheme="majorHAnsi" w:cs="HelveticaNeueLTStd-Lt"/>
          <w:color w:val="333333"/>
          <w:szCs w:val="12"/>
          <w:lang w:eastAsia="en-US"/>
        </w:rPr>
        <w:t>société anonyme au capital de 296 881 806 euros dont le siège social est au 1, rue de France à Tremblay-en-France 93290.</w:t>
      </w:r>
    </w:p>
    <w:p w:rsidR="001A014F" w:rsidRPr="001A014F" w:rsidRDefault="001A014F" w:rsidP="001A014F">
      <w:pPr>
        <w:autoSpaceDE w:val="0"/>
        <w:autoSpaceDN w:val="0"/>
        <w:contextualSpacing/>
        <w:jc w:val="both"/>
        <w:rPr>
          <w:rFonts w:asciiTheme="majorHAnsi" w:hAnsiTheme="majorHAnsi"/>
          <w:color w:val="000000"/>
          <w:sz w:val="22"/>
          <w:szCs w:val="14"/>
        </w:rPr>
      </w:pPr>
      <w:r w:rsidRPr="001A014F">
        <w:rPr>
          <w:rFonts w:asciiTheme="majorHAnsi" w:eastAsiaTheme="minorHAnsi" w:hAnsiTheme="majorHAnsi" w:cs="HelveticaNeueLTStd-Lt"/>
          <w:color w:val="333333"/>
          <w:szCs w:val="12"/>
          <w:lang w:eastAsia="en-US"/>
        </w:rPr>
        <w:t>SIREN 552 016 628 RCS Bobigny et le code APE 52.23Z.</w:t>
      </w:r>
    </w:p>
    <w:sectPr w:rsidR="001A014F" w:rsidRPr="001A014F" w:rsidSect="007240BE">
      <w:type w:val="continuous"/>
      <w:pgSz w:w="11906" w:h="16838" w:code="9"/>
      <w:pgMar w:top="1418" w:right="1418" w:bottom="1134" w:left="1418" w:header="340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5AB" w:rsidRDefault="004D75AB" w:rsidP="00237D7B">
      <w:r>
        <w:separator/>
      </w:r>
    </w:p>
  </w:endnote>
  <w:endnote w:type="continuationSeparator" w:id="0">
    <w:p w:rsidR="004D75AB" w:rsidRDefault="004D75AB" w:rsidP="0023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837422"/>
      <w:docPartObj>
        <w:docPartGallery w:val="Page Numbers (Bottom of Page)"/>
        <w:docPartUnique/>
      </w:docPartObj>
    </w:sdtPr>
    <w:sdtEndPr/>
    <w:sdtContent>
      <w:p w:rsidR="00D346FB" w:rsidRDefault="00D346FB" w:rsidP="00E719EF">
        <w:pPr>
          <w:pStyle w:val="Numerodepage"/>
        </w:pPr>
        <w:r w:rsidRPr="0050402D">
          <w:fldChar w:fldCharType="begin"/>
        </w:r>
        <w:r w:rsidRPr="0050402D">
          <w:instrText>PAGE   \* MERGEFORMAT</w:instrText>
        </w:r>
        <w:r w:rsidRPr="0050402D">
          <w:fldChar w:fldCharType="separate"/>
        </w:r>
        <w:r w:rsidR="00167E31">
          <w:rPr>
            <w:noProof/>
          </w:rPr>
          <w:t>1</w:t>
        </w:r>
        <w:r w:rsidRPr="0050402D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6FB" w:rsidRDefault="00D346FB">
    <w:pPr>
      <w:pStyle w:val="Pieddepage"/>
    </w:pPr>
  </w:p>
  <w:p w:rsidR="00D346FB" w:rsidRDefault="00D346FB">
    <w:pPr>
      <w:pStyle w:val="Pieddepage"/>
    </w:pPr>
  </w:p>
  <w:p w:rsidR="00D346FB" w:rsidRDefault="00D346FB">
    <w:pPr>
      <w:pStyle w:val="Pieddepage"/>
    </w:pPr>
  </w:p>
  <w:p w:rsidR="00D346FB" w:rsidRDefault="00D346FB">
    <w:pPr>
      <w:pStyle w:val="Pieddepage"/>
    </w:pPr>
  </w:p>
  <w:p w:rsidR="00D346FB" w:rsidRDefault="00D346FB">
    <w:pPr>
      <w:pStyle w:val="Pieddepage"/>
    </w:pPr>
  </w:p>
  <w:p w:rsidR="00D346FB" w:rsidRDefault="00D346FB">
    <w:pPr>
      <w:pStyle w:val="Pieddepage"/>
    </w:pPr>
  </w:p>
  <w:p w:rsidR="00D346FB" w:rsidRDefault="00D346FB">
    <w:pPr>
      <w:pStyle w:val="Pieddepage"/>
    </w:pPr>
  </w:p>
  <w:p w:rsidR="00D346FB" w:rsidRDefault="00D346FB">
    <w:pPr>
      <w:pStyle w:val="Pieddepage"/>
    </w:pPr>
  </w:p>
  <w:p w:rsidR="00D346FB" w:rsidRDefault="00D346F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8888387"/>
      <w:docPartObj>
        <w:docPartGallery w:val="Page Numbers (Bottom of Page)"/>
        <w:docPartUnique/>
      </w:docPartObj>
    </w:sdtPr>
    <w:sdtEndPr/>
    <w:sdtContent>
      <w:p w:rsidR="0050402D" w:rsidRDefault="0050402D" w:rsidP="00E719EF">
        <w:pPr>
          <w:pStyle w:val="Numerodepage"/>
        </w:pPr>
        <w:r w:rsidRPr="00E719EF">
          <w:fldChar w:fldCharType="begin"/>
        </w:r>
        <w:r w:rsidRPr="00E719EF">
          <w:instrText>PAGE   \* MERGEFORMAT</w:instrText>
        </w:r>
        <w:r w:rsidRPr="00E719EF">
          <w:fldChar w:fldCharType="separate"/>
        </w:r>
        <w:r w:rsidR="007240BE">
          <w:rPr>
            <w:noProof/>
          </w:rPr>
          <w:t>2</w:t>
        </w:r>
        <w:r w:rsidRPr="00E719EF">
          <w:fldChar w:fldCharType="end"/>
        </w:r>
      </w:p>
    </w:sdtContent>
  </w:sdt>
  <w:p w:rsidR="006057D2" w:rsidRPr="00530810" w:rsidRDefault="0050402D" w:rsidP="0053081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1369DDCA" wp14:editId="5F6E5364">
          <wp:simplePos x="0" y="0"/>
          <wp:positionH relativeFrom="page">
            <wp:posOffset>3240405</wp:posOffset>
          </wp:positionH>
          <wp:positionV relativeFrom="page">
            <wp:posOffset>9620250</wp:posOffset>
          </wp:positionV>
          <wp:extent cx="1080000" cy="1080000"/>
          <wp:effectExtent l="0" t="0" r="6350" b="635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d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5AB" w:rsidRDefault="004D75AB" w:rsidP="00237D7B"/>
    <w:p w:rsidR="004D75AB" w:rsidRDefault="004D75AB" w:rsidP="00237D7B"/>
  </w:footnote>
  <w:footnote w:type="continuationSeparator" w:id="0">
    <w:p w:rsidR="004D75AB" w:rsidRDefault="004D75AB" w:rsidP="00237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6FB" w:rsidRPr="002B1BA2" w:rsidRDefault="00D346FB" w:rsidP="002B1BA2">
    <w:pPr>
      <w:pStyle w:val="En-tte"/>
    </w:pPr>
    <w:r w:rsidRPr="00887369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2D88BE26" wp14:editId="71F3826F">
          <wp:simplePos x="0" y="0"/>
          <wp:positionH relativeFrom="page">
            <wp:posOffset>2700655</wp:posOffset>
          </wp:positionH>
          <wp:positionV relativeFrom="page">
            <wp:posOffset>0</wp:posOffset>
          </wp:positionV>
          <wp:extent cx="2160000" cy="18000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6FB" w:rsidRDefault="00D346FB">
    <w:pPr>
      <w:pStyle w:val="En-tte"/>
    </w:pPr>
  </w:p>
  <w:p w:rsidR="00D346FB" w:rsidRDefault="00D346FB">
    <w:pPr>
      <w:pStyle w:val="En-tte"/>
    </w:pPr>
  </w:p>
  <w:p w:rsidR="00D346FB" w:rsidRDefault="00D346FB">
    <w:pPr>
      <w:pStyle w:val="En-tte"/>
    </w:pPr>
  </w:p>
  <w:p w:rsidR="00D346FB" w:rsidRDefault="00D346FB">
    <w:pPr>
      <w:pStyle w:val="En-tte"/>
    </w:pPr>
  </w:p>
  <w:p w:rsidR="00D346FB" w:rsidRDefault="00D346FB">
    <w:pPr>
      <w:pStyle w:val="En-tte"/>
    </w:pPr>
  </w:p>
  <w:p w:rsidR="00D346FB" w:rsidRDefault="00D346FB">
    <w:pPr>
      <w:pStyle w:val="En-tte"/>
    </w:pPr>
  </w:p>
  <w:p w:rsidR="00D346FB" w:rsidRDefault="00D346FB" w:rsidP="00887369">
    <w:pPr>
      <w:pStyle w:val="En-tte"/>
    </w:pPr>
  </w:p>
  <w:p w:rsidR="00D346FB" w:rsidRDefault="00D346FB" w:rsidP="00887369">
    <w:pPr>
      <w:pStyle w:val="En-tte"/>
    </w:pPr>
  </w:p>
  <w:p w:rsidR="00D346FB" w:rsidRDefault="00D346FB" w:rsidP="00887369">
    <w:pPr>
      <w:pStyle w:val="En-tte"/>
    </w:pPr>
  </w:p>
  <w:p w:rsidR="00D346FB" w:rsidRDefault="00D346FB" w:rsidP="00887369">
    <w:pPr>
      <w:pStyle w:val="En-tte"/>
    </w:pPr>
  </w:p>
  <w:p w:rsidR="00D346FB" w:rsidRDefault="00D346FB" w:rsidP="00887369">
    <w:pPr>
      <w:pStyle w:val="En-tte"/>
    </w:pPr>
  </w:p>
  <w:p w:rsidR="00D346FB" w:rsidRDefault="00D346FB" w:rsidP="00887369">
    <w:pPr>
      <w:pStyle w:val="En-tte"/>
    </w:pPr>
  </w:p>
  <w:p w:rsidR="00D346FB" w:rsidRDefault="00D346FB" w:rsidP="00887369">
    <w:pPr>
      <w:pStyle w:val="En-tte"/>
    </w:pPr>
  </w:p>
  <w:p w:rsidR="00D346FB" w:rsidRDefault="00D346FB" w:rsidP="00887369">
    <w:pPr>
      <w:pStyle w:val="En-tte"/>
    </w:pPr>
  </w:p>
  <w:p w:rsidR="00D346FB" w:rsidRDefault="00D346FB" w:rsidP="00887369">
    <w:pPr>
      <w:pStyle w:val="En-tte"/>
    </w:pPr>
  </w:p>
  <w:p w:rsidR="00D346FB" w:rsidRDefault="00D346FB" w:rsidP="00887369">
    <w:pPr>
      <w:pStyle w:val="En-tte"/>
    </w:pPr>
  </w:p>
  <w:p w:rsidR="00D346FB" w:rsidRDefault="00D346FB" w:rsidP="00887369">
    <w:pPr>
      <w:pStyle w:val="En-tte"/>
    </w:pPr>
  </w:p>
  <w:p w:rsidR="00D346FB" w:rsidRDefault="00D346FB" w:rsidP="00887369">
    <w:pPr>
      <w:pStyle w:val="En-tte"/>
    </w:pPr>
  </w:p>
  <w:p w:rsidR="00D346FB" w:rsidRDefault="00D346FB" w:rsidP="00887369">
    <w:pPr>
      <w:pStyle w:val="En-tte"/>
    </w:pPr>
  </w:p>
  <w:p w:rsidR="00D346FB" w:rsidRDefault="00D346FB" w:rsidP="00887369">
    <w:pPr>
      <w:pStyle w:val="En-tte"/>
    </w:pPr>
  </w:p>
  <w:p w:rsidR="00D346FB" w:rsidRDefault="00D346FB" w:rsidP="00887369">
    <w:pPr>
      <w:pStyle w:val="En-tte"/>
    </w:pPr>
  </w:p>
  <w:p w:rsidR="00D346FB" w:rsidRDefault="00D346FB" w:rsidP="00887369">
    <w:pPr>
      <w:pStyle w:val="En-tte"/>
    </w:pPr>
  </w:p>
  <w:p w:rsidR="00D346FB" w:rsidRPr="00887369" w:rsidRDefault="00D346FB" w:rsidP="00887369">
    <w:pPr>
      <w:pStyle w:val="En-tte"/>
      <w:spacing w:line="16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66F" w:rsidRPr="00B76621" w:rsidRDefault="0050366F" w:rsidP="00B7662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3163C"/>
    <w:multiLevelType w:val="multilevel"/>
    <w:tmpl w:val="6518D8C0"/>
    <w:lvl w:ilvl="0">
      <w:start w:val="1"/>
      <w:numFmt w:val="bullet"/>
      <w:pStyle w:val="Pucen1"/>
      <w:lvlText w:val=""/>
      <w:lvlJc w:val="left"/>
      <w:pPr>
        <w:tabs>
          <w:tab w:val="num" w:pos="108"/>
        </w:tabs>
        <w:ind w:left="1129" w:hanging="142"/>
      </w:pPr>
      <w:rPr>
        <w:rFonts w:ascii="Wingdings" w:hAnsi="Wingdings" w:hint="default"/>
        <w:color w:val="C84118"/>
        <w:sz w:val="16"/>
      </w:rPr>
    </w:lvl>
    <w:lvl w:ilvl="1">
      <w:start w:val="1"/>
      <w:numFmt w:val="bullet"/>
      <w:lvlText w:val=""/>
      <w:lvlJc w:val="left"/>
      <w:pPr>
        <w:tabs>
          <w:tab w:val="num" w:pos="108"/>
        </w:tabs>
        <w:ind w:left="1472" w:hanging="360"/>
      </w:pPr>
      <w:rPr>
        <w:rFonts w:ascii="Wingdings 3" w:hAnsi="Wingdings 3" w:hint="default"/>
        <w:color w:val="C84118"/>
        <w:sz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192" w:hanging="360"/>
      </w:pPr>
      <w:rPr>
        <w:rFonts w:ascii="Wingdings" w:hAnsi="Wingdings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11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631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352" w:hanging="360"/>
      </w:pPr>
      <w:rPr>
        <w:rFonts w:ascii="Wingdings" w:hAnsi="Wingdings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072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792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12" w:hanging="360"/>
      </w:pPr>
      <w:rPr>
        <w:rFonts w:ascii="Wingdings" w:hAnsi="Wingdings"/>
        <w:color w:val="000000"/>
        <w:sz w:val="24"/>
      </w:rPr>
    </w:lvl>
  </w:abstractNum>
  <w:abstractNum w:abstractNumId="11" w15:restartNumberingAfterBreak="0">
    <w:nsid w:val="197F468C"/>
    <w:multiLevelType w:val="hybridMultilevel"/>
    <w:tmpl w:val="83BA0966"/>
    <w:lvl w:ilvl="0" w:tplc="0F12926C">
      <w:start w:val="1"/>
      <w:numFmt w:val="bullet"/>
      <w:pStyle w:val="Puce2"/>
      <w:lvlText w:val="-"/>
      <w:lvlJc w:val="left"/>
      <w:pPr>
        <w:ind w:left="1077" w:hanging="360"/>
      </w:pPr>
      <w:rPr>
        <w:rFonts w:ascii="Courier New" w:hAnsi="Courier New" w:hint="default"/>
        <w:color w:val="C84118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1DFB68D0"/>
    <w:multiLevelType w:val="multilevel"/>
    <w:tmpl w:val="6C2E812C"/>
    <w:lvl w:ilvl="0">
      <w:start w:val="1"/>
      <w:numFmt w:val="decimal"/>
      <w:pStyle w:val="Puc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038300E"/>
    <w:multiLevelType w:val="multilevel"/>
    <w:tmpl w:val="4530BD54"/>
    <w:name w:val="Liste Notes Comptables"/>
    <w:lvl w:ilvl="0">
      <w:start w:val="1"/>
      <w:numFmt w:val="decimal"/>
      <w:pStyle w:val="Notecomptable2"/>
      <w:lvlText w:val="NOTE %1"/>
      <w:lvlJc w:val="left"/>
      <w:pPr>
        <w:tabs>
          <w:tab w:val="num" w:pos="57"/>
        </w:tabs>
        <w:ind w:left="1304" w:hanging="1304"/>
      </w:pPr>
      <w:rPr>
        <w:rFonts w:ascii="HelveticaNeueLT Std Med" w:hAnsi="HelveticaNeueLT Std Med" w:hint="default"/>
        <w:b/>
        <w:i w:val="0"/>
        <w:color w:val="FFFFFF" w:themeColor="background1"/>
        <w:sz w:val="20"/>
      </w:rPr>
    </w:lvl>
    <w:lvl w:ilvl="1">
      <w:start w:val="1"/>
      <w:numFmt w:val="decimal"/>
      <w:pStyle w:val="Sousnotecomptable"/>
      <w:lvlText w:val="%1.%2"/>
      <w:lvlJc w:val="left"/>
      <w:pPr>
        <w:tabs>
          <w:tab w:val="num" w:pos="510"/>
        </w:tabs>
        <w:ind w:left="510" w:hanging="510"/>
      </w:pPr>
      <w:rPr>
        <w:rFonts w:ascii="HelveticaNeueLT Std" w:hAnsi="HelveticaNeueLT Std" w:hint="default"/>
        <w:b/>
        <w:i w:val="0"/>
        <w:color w:val="auto"/>
        <w:sz w:val="20"/>
      </w:rPr>
    </w:lvl>
    <w:lvl w:ilvl="2">
      <w:start w:val="1"/>
      <w:numFmt w:val="decimal"/>
      <w:pStyle w:val="Soussousnotecomptable"/>
      <w:lvlText w:val="%1.%2.%3"/>
      <w:lvlJc w:val="left"/>
      <w:pPr>
        <w:ind w:left="0" w:firstLine="0"/>
      </w:pPr>
      <w:rPr>
        <w:rFonts w:ascii="Century Gothic" w:hAnsi="Century Gothic" w:hint="default"/>
        <w:b/>
        <w:i w:val="0"/>
        <w:color w:val="031F73"/>
        <w:sz w:val="20"/>
      </w:rPr>
    </w:lvl>
    <w:lvl w:ilvl="3">
      <w:start w:val="1"/>
      <w:numFmt w:val="upperLetter"/>
      <w:pStyle w:val="Paragraphenotecomptableaveclettre"/>
      <w:suff w:val="space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3967CE4"/>
    <w:multiLevelType w:val="hybridMultilevel"/>
    <w:tmpl w:val="399C9666"/>
    <w:lvl w:ilvl="0" w:tplc="0A56FD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84118"/>
        <w:sz w:val="1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033EB4"/>
    <w:multiLevelType w:val="hybridMultilevel"/>
    <w:tmpl w:val="9D02D330"/>
    <w:lvl w:ilvl="0" w:tplc="FB881DDC">
      <w:start w:val="1"/>
      <w:numFmt w:val="bullet"/>
      <w:lvlText w:val=""/>
      <w:lvlJc w:val="left"/>
      <w:pPr>
        <w:ind w:left="862" w:hanging="360"/>
      </w:pPr>
      <w:rPr>
        <w:rFonts w:ascii="Wingdings" w:hAnsi="Wingdings" w:hint="default"/>
        <w:color w:val="C84118"/>
        <w:sz w:val="12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3066D5E"/>
    <w:multiLevelType w:val="hybridMultilevel"/>
    <w:tmpl w:val="06B833AE"/>
    <w:lvl w:ilvl="0" w:tplc="B8529274">
      <w:start w:val="1"/>
      <w:numFmt w:val="bullet"/>
      <w:pStyle w:val="Pucen2"/>
      <w:lvlText w:val=""/>
      <w:lvlJc w:val="left"/>
      <w:pPr>
        <w:ind w:left="1489" w:hanging="360"/>
      </w:pPr>
      <w:rPr>
        <w:rFonts w:ascii="Wingdings 3" w:hAnsi="Wingdings 3" w:hint="default"/>
        <w:color w:val="C841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97444"/>
    <w:multiLevelType w:val="hybridMultilevel"/>
    <w:tmpl w:val="7590ABAA"/>
    <w:lvl w:ilvl="0" w:tplc="FB3276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6"/>
  </w:num>
  <w:num w:numId="13">
    <w:abstractNumId w:val="13"/>
  </w:num>
  <w:num w:numId="14">
    <w:abstractNumId w:val="15"/>
  </w:num>
  <w:num w:numId="15">
    <w:abstractNumId w:val="12"/>
  </w:num>
  <w:num w:numId="16">
    <w:abstractNumId w:val="11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AB"/>
    <w:rsid w:val="00003043"/>
    <w:rsid w:val="00003439"/>
    <w:rsid w:val="00026D30"/>
    <w:rsid w:val="000602C8"/>
    <w:rsid w:val="0006174A"/>
    <w:rsid w:val="000812BC"/>
    <w:rsid w:val="00084854"/>
    <w:rsid w:val="000B2E5B"/>
    <w:rsid w:val="000C711B"/>
    <w:rsid w:val="00110CE1"/>
    <w:rsid w:val="00136ABC"/>
    <w:rsid w:val="00136E0D"/>
    <w:rsid w:val="001465A2"/>
    <w:rsid w:val="00147BE4"/>
    <w:rsid w:val="001569C6"/>
    <w:rsid w:val="00167E31"/>
    <w:rsid w:val="00197983"/>
    <w:rsid w:val="001A014F"/>
    <w:rsid w:val="001C3718"/>
    <w:rsid w:val="001E03BD"/>
    <w:rsid w:val="002019AB"/>
    <w:rsid w:val="002032CD"/>
    <w:rsid w:val="00206EED"/>
    <w:rsid w:val="00237D7B"/>
    <w:rsid w:val="002736BB"/>
    <w:rsid w:val="0027561F"/>
    <w:rsid w:val="00276216"/>
    <w:rsid w:val="00285D5D"/>
    <w:rsid w:val="002B1BA2"/>
    <w:rsid w:val="002B7339"/>
    <w:rsid w:val="002C5D8C"/>
    <w:rsid w:val="002D430E"/>
    <w:rsid w:val="002E4B47"/>
    <w:rsid w:val="002F3B2A"/>
    <w:rsid w:val="00324A68"/>
    <w:rsid w:val="00370CC5"/>
    <w:rsid w:val="00393752"/>
    <w:rsid w:val="003964D7"/>
    <w:rsid w:val="003A2E0C"/>
    <w:rsid w:val="003A678A"/>
    <w:rsid w:val="003A7E55"/>
    <w:rsid w:val="003B4A15"/>
    <w:rsid w:val="003C023B"/>
    <w:rsid w:val="003C7C34"/>
    <w:rsid w:val="003E3154"/>
    <w:rsid w:val="0040210C"/>
    <w:rsid w:val="004047A3"/>
    <w:rsid w:val="004404DC"/>
    <w:rsid w:val="0044191A"/>
    <w:rsid w:val="00445D47"/>
    <w:rsid w:val="004761A5"/>
    <w:rsid w:val="004A2FE6"/>
    <w:rsid w:val="004C6AB6"/>
    <w:rsid w:val="004D5566"/>
    <w:rsid w:val="004D75AB"/>
    <w:rsid w:val="0050366F"/>
    <w:rsid w:val="0050402D"/>
    <w:rsid w:val="00504E0E"/>
    <w:rsid w:val="005232F9"/>
    <w:rsid w:val="005241B4"/>
    <w:rsid w:val="00530810"/>
    <w:rsid w:val="00550AF2"/>
    <w:rsid w:val="00560DFB"/>
    <w:rsid w:val="00565B64"/>
    <w:rsid w:val="00567D95"/>
    <w:rsid w:val="00585D02"/>
    <w:rsid w:val="005904FA"/>
    <w:rsid w:val="005B7F5E"/>
    <w:rsid w:val="005E2FAA"/>
    <w:rsid w:val="006057D2"/>
    <w:rsid w:val="00622015"/>
    <w:rsid w:val="006354A9"/>
    <w:rsid w:val="006440D1"/>
    <w:rsid w:val="00645121"/>
    <w:rsid w:val="00646D35"/>
    <w:rsid w:val="006553B9"/>
    <w:rsid w:val="00663B3E"/>
    <w:rsid w:val="006834B2"/>
    <w:rsid w:val="006873C3"/>
    <w:rsid w:val="00687816"/>
    <w:rsid w:val="006B108E"/>
    <w:rsid w:val="006B2ED2"/>
    <w:rsid w:val="006C296F"/>
    <w:rsid w:val="006C76DC"/>
    <w:rsid w:val="006E2FCC"/>
    <w:rsid w:val="006F538E"/>
    <w:rsid w:val="00700924"/>
    <w:rsid w:val="00706E8D"/>
    <w:rsid w:val="007240BE"/>
    <w:rsid w:val="00735BF3"/>
    <w:rsid w:val="007B37A0"/>
    <w:rsid w:val="007C7DD6"/>
    <w:rsid w:val="007D048E"/>
    <w:rsid w:val="007D55FD"/>
    <w:rsid w:val="007E1058"/>
    <w:rsid w:val="007E2CAC"/>
    <w:rsid w:val="00814EB0"/>
    <w:rsid w:val="00820FB2"/>
    <w:rsid w:val="00822780"/>
    <w:rsid w:val="00835A6A"/>
    <w:rsid w:val="00841792"/>
    <w:rsid w:val="008531C5"/>
    <w:rsid w:val="00875C55"/>
    <w:rsid w:val="00881C7F"/>
    <w:rsid w:val="008830A8"/>
    <w:rsid w:val="00887369"/>
    <w:rsid w:val="00893D43"/>
    <w:rsid w:val="008A4572"/>
    <w:rsid w:val="008A779A"/>
    <w:rsid w:val="008C20C8"/>
    <w:rsid w:val="0091442C"/>
    <w:rsid w:val="00963DAE"/>
    <w:rsid w:val="00971591"/>
    <w:rsid w:val="00972780"/>
    <w:rsid w:val="00973716"/>
    <w:rsid w:val="009764FA"/>
    <w:rsid w:val="009E2E3C"/>
    <w:rsid w:val="00A015A8"/>
    <w:rsid w:val="00A16523"/>
    <w:rsid w:val="00A22203"/>
    <w:rsid w:val="00A268FE"/>
    <w:rsid w:val="00A40221"/>
    <w:rsid w:val="00A40249"/>
    <w:rsid w:val="00A51CFD"/>
    <w:rsid w:val="00A72002"/>
    <w:rsid w:val="00AE42C2"/>
    <w:rsid w:val="00AF0A3C"/>
    <w:rsid w:val="00AF5A12"/>
    <w:rsid w:val="00B06587"/>
    <w:rsid w:val="00B21DFD"/>
    <w:rsid w:val="00B44262"/>
    <w:rsid w:val="00B76621"/>
    <w:rsid w:val="00B76929"/>
    <w:rsid w:val="00BA67BD"/>
    <w:rsid w:val="00BB5B1B"/>
    <w:rsid w:val="00BF6ED0"/>
    <w:rsid w:val="00C114B9"/>
    <w:rsid w:val="00C31A20"/>
    <w:rsid w:val="00C35755"/>
    <w:rsid w:val="00C42225"/>
    <w:rsid w:val="00C61AFD"/>
    <w:rsid w:val="00C65C6D"/>
    <w:rsid w:val="00CA14F7"/>
    <w:rsid w:val="00CA6FE9"/>
    <w:rsid w:val="00CC0D3E"/>
    <w:rsid w:val="00CE47EB"/>
    <w:rsid w:val="00D06746"/>
    <w:rsid w:val="00D20EA4"/>
    <w:rsid w:val="00D346FB"/>
    <w:rsid w:val="00D53EB8"/>
    <w:rsid w:val="00D668D0"/>
    <w:rsid w:val="00D959F0"/>
    <w:rsid w:val="00DA19A5"/>
    <w:rsid w:val="00DA6D3A"/>
    <w:rsid w:val="00DB4FD3"/>
    <w:rsid w:val="00DF66AA"/>
    <w:rsid w:val="00E10FCB"/>
    <w:rsid w:val="00E34CFC"/>
    <w:rsid w:val="00E37319"/>
    <w:rsid w:val="00E421B4"/>
    <w:rsid w:val="00E45D88"/>
    <w:rsid w:val="00E61C20"/>
    <w:rsid w:val="00E64B8B"/>
    <w:rsid w:val="00E719EF"/>
    <w:rsid w:val="00E72CD1"/>
    <w:rsid w:val="00ED4ED4"/>
    <w:rsid w:val="00EE23DD"/>
    <w:rsid w:val="00EE43E9"/>
    <w:rsid w:val="00EE4C89"/>
    <w:rsid w:val="00EF2F10"/>
    <w:rsid w:val="00EF40EE"/>
    <w:rsid w:val="00F014EA"/>
    <w:rsid w:val="00F04DFE"/>
    <w:rsid w:val="00F15C1F"/>
    <w:rsid w:val="00F2714D"/>
    <w:rsid w:val="00F321A2"/>
    <w:rsid w:val="00F45E0D"/>
    <w:rsid w:val="00F46BA5"/>
    <w:rsid w:val="00F51D4C"/>
    <w:rsid w:val="00F70C27"/>
    <w:rsid w:val="00F7724D"/>
    <w:rsid w:val="00F82548"/>
    <w:rsid w:val="00F864FF"/>
    <w:rsid w:val="00FA5210"/>
    <w:rsid w:val="00FB5AB8"/>
    <w:rsid w:val="00FE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5:docId w15:val="{06FFECC2-C4DE-4ED6-A1CE-741FAF96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AB"/>
    <w:pPr>
      <w:spacing w:after="0" w:line="240" w:lineRule="auto"/>
    </w:pPr>
    <w:rPr>
      <w:rFonts w:ascii="Century Gothic" w:eastAsia="MS Mincho" w:hAnsi="Century Gothic" w:cs="Times New Roman"/>
      <w:sz w:val="20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rsid w:val="00E64B8B"/>
    <w:pPr>
      <w:keepNext/>
      <w:keepLines/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color w:val="021756" w:themeColor="accent1" w:themeShade="BF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B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tinataire">
    <w:name w:val="Destinataire"/>
    <w:basedOn w:val="Normal"/>
    <w:rsid w:val="00841792"/>
    <w:pPr>
      <w:spacing w:line="220" w:lineRule="atLeast"/>
    </w:pPr>
  </w:style>
  <w:style w:type="paragraph" w:customStyle="1" w:styleId="Emetteur">
    <w:name w:val="Emetteur"/>
    <w:basedOn w:val="Normal"/>
    <w:rsid w:val="00841792"/>
    <w:pPr>
      <w:spacing w:line="240" w:lineRule="atLeast"/>
    </w:pPr>
  </w:style>
  <w:style w:type="paragraph" w:customStyle="1" w:styleId="Signaturedestinataire">
    <w:name w:val="Signature destinataire"/>
    <w:basedOn w:val="Normal"/>
    <w:rsid w:val="00841792"/>
    <w:pPr>
      <w:spacing w:line="220" w:lineRule="atLeast"/>
      <w:ind w:left="5387"/>
    </w:pPr>
  </w:style>
  <w:style w:type="character" w:customStyle="1" w:styleId="Textebold">
    <w:name w:val="Texte bold"/>
    <w:basedOn w:val="Policepardfaut"/>
    <w:uiPriority w:val="1"/>
    <w:rsid w:val="00841792"/>
    <w:rPr>
      <w:b/>
    </w:rPr>
  </w:style>
  <w:style w:type="character" w:customStyle="1" w:styleId="Textebleu">
    <w:name w:val="Texte bleu"/>
    <w:basedOn w:val="Policepardfaut"/>
    <w:uiPriority w:val="1"/>
    <w:rsid w:val="00841792"/>
    <w:rPr>
      <w:color w:val="031F73" w:themeColor="accent1"/>
    </w:rPr>
  </w:style>
  <w:style w:type="paragraph" w:customStyle="1" w:styleId="Datedudocument">
    <w:name w:val="Date du document"/>
    <w:basedOn w:val="Normal"/>
    <w:rsid w:val="00E64B8B"/>
    <w:pPr>
      <w:spacing w:line="264" w:lineRule="atLeast"/>
    </w:pPr>
    <w:rPr>
      <w:color w:val="031F73" w:themeColor="accent1"/>
      <w:sz w:val="18"/>
    </w:rPr>
  </w:style>
  <w:style w:type="paragraph" w:customStyle="1" w:styleId="Titreducommuniqu">
    <w:name w:val="Titre du communiqué"/>
    <w:basedOn w:val="Normal"/>
    <w:rsid w:val="00324A68"/>
    <w:pPr>
      <w:jc w:val="center"/>
    </w:pPr>
    <w:rPr>
      <w:b/>
      <w:color w:val="031F73" w:themeColor="accent1"/>
      <w:sz w:val="28"/>
      <w:szCs w:val="26"/>
    </w:rPr>
  </w:style>
  <w:style w:type="paragraph" w:customStyle="1" w:styleId="Textepieddepage">
    <w:name w:val="Texte pied de page"/>
    <w:basedOn w:val="Pieddepage"/>
    <w:rsid w:val="003A678A"/>
    <w:pPr>
      <w:framePr w:wrap="around" w:hAnchor="margin" w:yAlign="bottom"/>
      <w:spacing w:line="140" w:lineRule="exact"/>
    </w:pPr>
    <w:rPr>
      <w:sz w:val="13"/>
      <w:szCs w:val="13"/>
    </w:rPr>
  </w:style>
  <w:style w:type="paragraph" w:customStyle="1" w:styleId="Textecontact">
    <w:name w:val="Texte contact"/>
    <w:basedOn w:val="Textepieddepage"/>
    <w:rsid w:val="003A678A"/>
    <w:pPr>
      <w:framePr w:wrap="around"/>
      <w:spacing w:line="180" w:lineRule="exact"/>
    </w:pPr>
    <w:rPr>
      <w:b/>
      <w:color w:val="031F73" w:themeColor="accent1"/>
      <w:sz w:val="16"/>
    </w:rPr>
  </w:style>
  <w:style w:type="paragraph" w:customStyle="1" w:styleId="Adresseinternet">
    <w:name w:val="Adresse internet"/>
    <w:basedOn w:val="Textepieddepage"/>
    <w:rsid w:val="003A678A"/>
    <w:pPr>
      <w:framePr w:wrap="around"/>
      <w:spacing w:line="172" w:lineRule="exact"/>
      <w:jc w:val="right"/>
    </w:pPr>
    <w:rPr>
      <w:b/>
      <w:color w:val="031F73" w:themeColor="accent1"/>
      <w:sz w:val="14"/>
      <w:szCs w:val="14"/>
    </w:rPr>
  </w:style>
  <w:style w:type="paragraph" w:customStyle="1" w:styleId="Texteinvestisseurs">
    <w:name w:val="Texte investisseurs"/>
    <w:basedOn w:val="Textecontact"/>
    <w:rsid w:val="003A678A"/>
    <w:pPr>
      <w:framePr w:wrap="around"/>
    </w:pPr>
  </w:style>
  <w:style w:type="paragraph" w:customStyle="1" w:styleId="Textesiegesocial">
    <w:name w:val="Texte siege social"/>
    <w:basedOn w:val="Textepieddepage"/>
    <w:rsid w:val="003A678A"/>
    <w:pPr>
      <w:framePr w:wrap="around"/>
    </w:pPr>
  </w:style>
  <w:style w:type="paragraph" w:customStyle="1" w:styleId="Textecapital">
    <w:name w:val="Texte capital"/>
    <w:basedOn w:val="Textepieddepage"/>
    <w:rsid w:val="0050366F"/>
    <w:pPr>
      <w:framePr w:wrap="around"/>
      <w:spacing w:line="150" w:lineRule="atLeast"/>
    </w:pPr>
  </w:style>
  <w:style w:type="paragraph" w:customStyle="1" w:styleId="Intitul">
    <w:name w:val="Intitulé"/>
    <w:basedOn w:val="Normal"/>
    <w:rsid w:val="006057D2"/>
    <w:pPr>
      <w:jc w:val="center"/>
    </w:pPr>
    <w:rPr>
      <w:caps/>
      <w:color w:val="031F73" w:themeColor="accent1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rsid w:val="006440D1"/>
    <w:pPr>
      <w:spacing w:line="200" w:lineRule="atLeast"/>
    </w:pPr>
    <w:rPr>
      <w:sz w:val="14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440D1"/>
    <w:rPr>
      <w:sz w:val="14"/>
      <w:szCs w:val="18"/>
      <w:lang w:val="en-US"/>
    </w:rPr>
  </w:style>
  <w:style w:type="character" w:styleId="Appelnotedebasdep">
    <w:name w:val="footnote reference"/>
    <w:basedOn w:val="Policepardfaut"/>
    <w:uiPriority w:val="99"/>
    <w:unhideWhenUsed/>
    <w:rsid w:val="001569C6"/>
    <w:rPr>
      <w:vertAlign w:val="superscript"/>
    </w:rPr>
  </w:style>
  <w:style w:type="paragraph" w:customStyle="1" w:styleId="Numerodepage">
    <w:name w:val="Numero de page"/>
    <w:basedOn w:val="Pieddepage"/>
    <w:rsid w:val="00E719EF"/>
    <w:pPr>
      <w:spacing w:line="200" w:lineRule="exact"/>
      <w:jc w:val="right"/>
    </w:pPr>
    <w:rPr>
      <w:color w:val="031F73" w:themeColor="accent1"/>
      <w:sz w:val="18"/>
      <w:szCs w:val="18"/>
    </w:rPr>
  </w:style>
  <w:style w:type="paragraph" w:customStyle="1" w:styleId="Pucen1">
    <w:name w:val="Puce n1"/>
    <w:basedOn w:val="Normal"/>
    <w:rsid w:val="00F45E0D"/>
    <w:pPr>
      <w:widowControl w:val="0"/>
      <w:numPr>
        <w:numId w:val="11"/>
      </w:numPr>
      <w:tabs>
        <w:tab w:val="left" w:pos="534"/>
      </w:tabs>
      <w:autoSpaceDE w:val="0"/>
      <w:autoSpaceDN w:val="0"/>
      <w:adjustRightInd w:val="0"/>
      <w:spacing w:before="20" w:after="100"/>
      <w:ind w:left="426" w:right="-56" w:hanging="284"/>
    </w:pPr>
    <w:rPr>
      <w:rFonts w:asciiTheme="majorHAnsi" w:hAnsiTheme="majorHAnsi" w:cs="Arial"/>
      <w:color w:val="000000"/>
      <w:szCs w:val="20"/>
    </w:rPr>
  </w:style>
  <w:style w:type="paragraph" w:customStyle="1" w:styleId="Pucen2">
    <w:name w:val="Puce n2"/>
    <w:basedOn w:val="Normal"/>
    <w:rsid w:val="0091442C"/>
    <w:pPr>
      <w:numPr>
        <w:numId w:val="12"/>
      </w:numPr>
    </w:pPr>
    <w:rPr>
      <w:color w:val="000000" w:themeColor="accent6"/>
    </w:rPr>
  </w:style>
  <w:style w:type="paragraph" w:customStyle="1" w:styleId="TitreADPSA">
    <w:name w:val="Titre ADP SA"/>
    <w:basedOn w:val="Titreducommuniqu"/>
    <w:next w:val="Normal"/>
    <w:rsid w:val="00D346FB"/>
    <w:rPr>
      <w:b w:val="0"/>
      <w:sz w:val="20"/>
      <w:szCs w:val="20"/>
    </w:rPr>
  </w:style>
  <w:style w:type="paragraph" w:customStyle="1" w:styleId="Titre2">
    <w:name w:val="Titre 2'"/>
    <w:basedOn w:val="Titre1"/>
    <w:rsid w:val="00E64B8B"/>
    <w:pPr>
      <w:pBdr>
        <w:bottom w:val="none" w:sz="0" w:space="0" w:color="auto"/>
      </w:pBdr>
      <w:spacing w:before="160" w:after="80"/>
    </w:pPr>
    <w:rPr>
      <w:b/>
      <w:sz w:val="24"/>
    </w:rPr>
  </w:style>
  <w:style w:type="character" w:customStyle="1" w:styleId="Titre1Car">
    <w:name w:val="Titre 1 Car"/>
    <w:basedOn w:val="Policepardfaut"/>
    <w:link w:val="Titre1"/>
    <w:uiPriority w:val="9"/>
    <w:rsid w:val="00E64B8B"/>
    <w:rPr>
      <w:rFonts w:asciiTheme="majorHAnsi" w:eastAsiaTheme="majorEastAsia" w:hAnsiTheme="majorHAnsi" w:cstheme="majorBidi"/>
      <w:color w:val="021756" w:themeColor="accent1" w:themeShade="BF"/>
      <w:sz w:val="30"/>
      <w:szCs w:val="30"/>
      <w:lang w:val="en-US"/>
    </w:rPr>
  </w:style>
  <w:style w:type="paragraph" w:styleId="Titre">
    <w:name w:val="Title"/>
    <w:basedOn w:val="Normal"/>
    <w:next w:val="Normal"/>
    <w:link w:val="TitreCar"/>
    <w:uiPriority w:val="99"/>
    <w:qFormat/>
    <w:rsid w:val="00E64B8B"/>
    <w:pPr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reCar">
    <w:name w:val="Titre Car"/>
    <w:basedOn w:val="Policepardfaut"/>
    <w:link w:val="Titre"/>
    <w:uiPriority w:val="99"/>
    <w:rsid w:val="00E64B8B"/>
    <w:rPr>
      <w:rFonts w:asciiTheme="majorHAnsi" w:eastAsiaTheme="majorEastAsia" w:hAnsiTheme="majorHAnsi" w:cstheme="majorBidi"/>
      <w:spacing w:val="-10"/>
      <w:kern w:val="28"/>
      <w:sz w:val="32"/>
      <w:szCs w:val="56"/>
      <w:lang w:val="en-US"/>
    </w:rPr>
  </w:style>
  <w:style w:type="paragraph" w:customStyle="1" w:styleId="Body">
    <w:name w:val="Body"/>
    <w:basedOn w:val="Normal"/>
    <w:next w:val="Normal"/>
    <w:uiPriority w:val="99"/>
    <w:rsid w:val="004D75AB"/>
    <w:pPr>
      <w:autoSpaceDE w:val="0"/>
      <w:autoSpaceDN w:val="0"/>
      <w:adjustRightInd w:val="0"/>
    </w:pPr>
    <w:rPr>
      <w:rFonts w:ascii="Arial" w:hAnsi="Arial" w:cs="Arial"/>
    </w:rPr>
  </w:style>
  <w:style w:type="character" w:styleId="Lienhypertexte">
    <w:name w:val="Hyperlink"/>
    <w:rsid w:val="004D75AB"/>
    <w:rPr>
      <w:color w:val="0000FF"/>
      <w:u w:val="single"/>
    </w:rPr>
  </w:style>
  <w:style w:type="paragraph" w:customStyle="1" w:styleId="Sousnotecomptable">
    <w:name w:val="Sous note comptable"/>
    <w:basedOn w:val="Normal"/>
    <w:next w:val="Normal"/>
    <w:uiPriority w:val="1"/>
    <w:qFormat/>
    <w:rsid w:val="00C65C6D"/>
    <w:pPr>
      <w:numPr>
        <w:ilvl w:val="1"/>
        <w:numId w:val="13"/>
      </w:numPr>
      <w:spacing w:before="120" w:after="60"/>
      <w:jc w:val="both"/>
    </w:pPr>
    <w:rPr>
      <w:rFonts w:eastAsiaTheme="minorEastAsia" w:cstheme="minorBidi"/>
      <w:b/>
      <w:color w:val="5A5A5A" w:themeColor="text1"/>
      <w:szCs w:val="16"/>
      <w:lang w:eastAsia="fr-FR"/>
    </w:rPr>
  </w:style>
  <w:style w:type="paragraph" w:customStyle="1" w:styleId="Notecomptable2">
    <w:name w:val="Note comptable 2"/>
    <w:basedOn w:val="Normal"/>
    <w:uiPriority w:val="99"/>
    <w:qFormat/>
    <w:rsid w:val="00C65C6D"/>
    <w:pPr>
      <w:numPr>
        <w:numId w:val="13"/>
      </w:numPr>
      <w:shd w:val="clear" w:color="auto" w:fill="031F73"/>
      <w:spacing w:before="60" w:after="60"/>
    </w:pPr>
    <w:rPr>
      <w:rFonts w:eastAsiaTheme="minorEastAsia" w:cstheme="minorBidi"/>
      <w:b/>
      <w:color w:val="FFFFFF" w:themeColor="background1"/>
      <w:sz w:val="22"/>
      <w:szCs w:val="16"/>
      <w:lang w:eastAsia="fr-FR"/>
    </w:rPr>
  </w:style>
  <w:style w:type="paragraph" w:customStyle="1" w:styleId="Soussousnotecomptable">
    <w:name w:val="Sous sous note comptable"/>
    <w:basedOn w:val="Sousnotecomptable"/>
    <w:uiPriority w:val="1"/>
    <w:qFormat/>
    <w:rsid w:val="00C65C6D"/>
    <w:pPr>
      <w:numPr>
        <w:ilvl w:val="2"/>
      </w:numPr>
      <w:ind w:left="709" w:hanging="709"/>
      <w:jc w:val="left"/>
    </w:pPr>
    <w:rPr>
      <w:color w:val="031F73"/>
    </w:rPr>
  </w:style>
  <w:style w:type="paragraph" w:customStyle="1" w:styleId="Paragraphenotecomptableaveclettre">
    <w:name w:val="Paragraphe note comptable avec lettre"/>
    <w:basedOn w:val="Normal"/>
    <w:uiPriority w:val="1"/>
    <w:qFormat/>
    <w:rsid w:val="00C65C6D"/>
    <w:pPr>
      <w:numPr>
        <w:ilvl w:val="3"/>
        <w:numId w:val="13"/>
      </w:numPr>
      <w:spacing w:before="60" w:after="60"/>
    </w:pPr>
    <w:rPr>
      <w:rFonts w:eastAsiaTheme="minorEastAsia" w:cstheme="minorBidi"/>
      <w:b/>
      <w:caps/>
      <w:sz w:val="18"/>
      <w:szCs w:val="16"/>
      <w:lang w:eastAsia="fr-FR"/>
    </w:rPr>
  </w:style>
  <w:style w:type="paragraph" w:customStyle="1" w:styleId="Default">
    <w:name w:val="Default"/>
    <w:basedOn w:val="Normal"/>
    <w:rsid w:val="00E421B4"/>
    <w:pPr>
      <w:autoSpaceDE w:val="0"/>
      <w:autoSpaceDN w:val="0"/>
    </w:pPr>
    <w:rPr>
      <w:rFonts w:eastAsiaTheme="minorHAnsi"/>
      <w:color w:val="000000"/>
      <w:sz w:val="24"/>
      <w:lang w:eastAsia="fr-FR"/>
    </w:rPr>
  </w:style>
  <w:style w:type="paragraph" w:customStyle="1" w:styleId="Puce">
    <w:name w:val="Puce"/>
    <w:qFormat/>
    <w:rsid w:val="00CE47EB"/>
    <w:pPr>
      <w:numPr>
        <w:numId w:val="15"/>
      </w:numPr>
      <w:spacing w:before="60" w:after="60" w:line="264" w:lineRule="auto"/>
      <w:ind w:left="567" w:hanging="425"/>
      <w:jc w:val="both"/>
    </w:pPr>
    <w:rPr>
      <w:rFonts w:ascii="Century Gothic" w:hAnsi="Century Gothic"/>
      <w:color w:val="5A5A5A" w:themeColor="text1"/>
      <w:sz w:val="17"/>
      <w:szCs w:val="16"/>
    </w:rPr>
  </w:style>
  <w:style w:type="paragraph" w:customStyle="1" w:styleId="Puce2">
    <w:name w:val="Puce 2"/>
    <w:qFormat/>
    <w:rsid w:val="00393752"/>
    <w:pPr>
      <w:numPr>
        <w:numId w:val="16"/>
      </w:numPr>
      <w:spacing w:after="80" w:line="240" w:lineRule="auto"/>
      <w:ind w:left="851" w:hanging="357"/>
      <w:jc w:val="both"/>
    </w:pPr>
    <w:rPr>
      <w:rFonts w:ascii="Century Gothic" w:eastAsiaTheme="minorEastAsia" w:hAnsi="Century Gothic"/>
      <w:color w:val="5A5A5A" w:themeColor="text1"/>
      <w:sz w:val="18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9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ADP PPT">
      <a:dk1>
        <a:srgbClr val="5A5A5A"/>
      </a:dk1>
      <a:lt1>
        <a:sysClr val="window" lastClr="FFFFFF"/>
      </a:lt1>
      <a:dk2>
        <a:srgbClr val="376DB3"/>
      </a:dk2>
      <a:lt2>
        <a:srgbClr val="C84118"/>
      </a:lt2>
      <a:accent1>
        <a:srgbClr val="031F73"/>
      </a:accent1>
      <a:accent2>
        <a:srgbClr val="9DCDE2"/>
      </a:accent2>
      <a:accent3>
        <a:srgbClr val="D3A7C1"/>
      </a:accent3>
      <a:accent4>
        <a:srgbClr val="D6BFA5"/>
      </a:accent4>
      <a:accent5>
        <a:srgbClr val="9ECABF"/>
      </a:accent5>
      <a:accent6>
        <a:srgbClr val="000000"/>
      </a:accent6>
      <a:hlink>
        <a:srgbClr val="5A5A5A"/>
      </a:hlink>
      <a:folHlink>
        <a:srgbClr val="5A5A5A"/>
      </a:folHlink>
    </a:clrScheme>
    <a:fontScheme name="ADP PPT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E09A0-DBE0-4D10-82AB-C77C23BD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ADP</vt:lpstr>
    </vt:vector>
  </TitlesOfParts>
  <Manager>ADP</Manager>
  <Company>ADP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ADP</dc:title>
  <dc:subject>ADP</dc:subject>
  <dc:creator>groupe adp</dc:creator>
  <cp:lastModifiedBy>BAUDE Caroline</cp:lastModifiedBy>
  <cp:revision>5</cp:revision>
  <cp:lastPrinted>2017-06-06T14:54:00Z</cp:lastPrinted>
  <dcterms:created xsi:type="dcterms:W3CDTF">2018-04-10T12:21:00Z</dcterms:created>
  <dcterms:modified xsi:type="dcterms:W3CDTF">2018-04-10T12:32:00Z</dcterms:modified>
</cp:coreProperties>
</file>